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C2" w:rsidRPr="00D76330" w:rsidRDefault="00481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=id.30j0zll" w:colFirst="0" w:colLast="0"/>
      <w:bookmarkEnd w:id="0"/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3143C2" w:rsidRPr="00D76330" w:rsidRDefault="00481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B602A" w:rsidRPr="00D76330" w:rsidRDefault="004B602A" w:rsidP="004B602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 программа по химии      8-9 классов составлена на основе:</w:t>
      </w:r>
    </w:p>
    <w:p w:rsidR="004B602A" w:rsidRPr="00D76330" w:rsidRDefault="004B602A" w:rsidP="004B602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 программы основного общего образования по биологии</w:t>
      </w:r>
    </w:p>
    <w:p w:rsidR="004B602A" w:rsidRPr="00D76330" w:rsidRDefault="004B602A" w:rsidP="004B602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4B602A" w:rsidRPr="00D76330" w:rsidRDefault="004B602A" w:rsidP="004B602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4B602A" w:rsidRPr="00D76330" w:rsidRDefault="004B602A" w:rsidP="004B602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«Областной центр образования»</w:t>
      </w:r>
    </w:p>
    <w:p w:rsidR="004B602A" w:rsidRPr="00D76330" w:rsidRDefault="004B602A" w:rsidP="004B602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 </w:t>
      </w:r>
    </w:p>
    <w:p w:rsidR="004B602A" w:rsidRDefault="004B602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143C2" w:rsidRDefault="00481C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внутрипредметных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D02DCD" w:rsidRDefault="00D02DC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02DCD" w:rsidRPr="00D76330" w:rsidRDefault="00D02DCD" w:rsidP="00D02DCD">
      <w:pPr>
        <w:tabs>
          <w:tab w:val="left" w:pos="2674"/>
        </w:tabs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СТРУКТУРА ДОКУМЕНТА</w:t>
      </w:r>
    </w:p>
    <w:p w:rsidR="00D02DCD" w:rsidRDefault="00D02DCD" w:rsidP="00D02DCD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включает разделы: пояснительную записку; планируемые результаты освоения учебного предмета; содержание учебного предмета; </w:t>
      </w:r>
      <w:r w:rsidRPr="00D7633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тематическое планирование с указанием количества часов, отводимых на освоение каждой темы; оценочно-измерительные материалы</w:t>
      </w:r>
    </w:p>
    <w:p w:rsidR="00D02DCD" w:rsidRPr="00D02DCD" w:rsidRDefault="00D02DCD" w:rsidP="00D02DCD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2DC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02DCD" w:rsidRPr="00D76330" w:rsidRDefault="00D02D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ств в пр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Изучение химии: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­-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научной грамотности обучающихся;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способствует формированию ценностного отношения к естественн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атомно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­-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молекулярного учения как основы всего естествознания;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Периодического закона Д. И. Менделеева как основного закона химии;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учения о строении атома и химической связи;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представлений об электролитической диссоциации веществ в растворах.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важное значение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приобрели такие </w:t>
      </w:r>
      <w:r w:rsidRPr="00D02D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цели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как: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обеспечение условий, способствующих приобретению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опыта разнообразной деятельности, познания и самопознания, ключевых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навыков (ключевых компетенций), имеющих универсальное значение для различных видов деятельности;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формирование общей функциональной и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hAnsi="Times New Roman" w:cs="Times New Roman"/>
          <w:color w:val="333333"/>
          <w:sz w:val="28"/>
          <w:szCs w:val="28"/>
          <w:lang w:val="ru-RU"/>
        </w:rPr>
        <w:t>–</w:t>
      </w:r>
      <w:r w:rsidRPr="00D76330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" w:name="bookmark=id.1fob9te" w:colFirst="0" w:colLast="0"/>
      <w:bookmarkEnd w:id="1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неделю).‌‌</w:t>
      </w:r>
    </w:p>
    <w:p w:rsidR="003143C2" w:rsidRPr="00D76330" w:rsidRDefault="003143C2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143C2" w:rsidRPr="00D76330">
          <w:pgSz w:w="11906" w:h="16383"/>
          <w:pgMar w:top="1134" w:right="850" w:bottom="1134" w:left="1701" w:header="720" w:footer="720" w:gutter="0"/>
          <w:cols w:space="720"/>
        </w:sectPr>
      </w:pPr>
    </w:p>
    <w:p w:rsidR="003143C2" w:rsidRPr="00D76330" w:rsidRDefault="00481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ookmark=id.3znysh7" w:colFirst="0" w:colLast="0"/>
      <w:bookmarkEnd w:id="2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3143C2" w:rsidRPr="00D76330" w:rsidRDefault="00481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Первоначальные химические понятия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шаростержневых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Важнейшие представители неорганических веществ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Молярный объём газов. Расчёты по химическим уравнениям.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солеобразующие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Генетическая связь между классами неорганических соединений.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Окислительно</w:t>
      </w:r>
      <w:proofErr w:type="spellEnd"/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-восстановительные реакции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длиннопериодная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Электроотрицательность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химических элементов. Ионная связь.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Степень окисления.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Окислительно</w:t>
      </w:r>
      <w:proofErr w:type="spellEnd"/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­-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окислительно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-восстановительных реакций (горение, реакции разложения, соединения).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Межпредметные</w:t>
      </w:r>
      <w:proofErr w:type="spellEnd"/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связи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Реализация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Общие естественн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Биология: фотосинтез, дыхание, биосфера.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Вещество и химическая реакция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эндотермические реакции, термохимические уравнения.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Окислительно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-восстановительные реакции, электронный баланс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окислительно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-восстановительной реакции. Составление уравнений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окислительно</w:t>
      </w:r>
      <w:proofErr w:type="spellEnd"/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­-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восстановительных реакций с использованием метода электронного баланса.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неэлектролиты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Реакц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 ио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окислительно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-восстановительных реакций (горение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Неметаллы и их соединения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Хлороводород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хлороводорода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организм человека. Важнейшие хлориды и их нахождение в природе.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Общая характеристика элементов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VI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Общая характеристика элементов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V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Общая характеристика элементов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IV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карбонат-ионы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Использование карбонатов в быту, медицине, промышленности и сельском хозяйстве.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силикат-ионы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Металлы и их соединения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Химия и окружающая среда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эксперимент: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образцов материалов (стекло, сплавы металлов, полимерные материалы).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Межпредметные</w:t>
      </w:r>
      <w:proofErr w:type="spellEnd"/>
      <w:r w:rsidRPr="00D763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связи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Реализация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­-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научного цикла.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3143C2" w:rsidRPr="00D76330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143C2" w:rsidRPr="00D76330" w:rsidRDefault="00481C76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143C2" w:rsidRPr="00D76330" w:rsidRDefault="003143C2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учебно­исследовательской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правовых норм с учётом осознания последствий поступков;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eading=h.tyjcwt" w:colFirst="0" w:colLast="0"/>
      <w:bookmarkEnd w:id="3"/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4)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формирования культуры здоровья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5)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6)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составе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изучаемых процессах и явлениях.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eading=h.3dy6vkm" w:colFirst="0" w:colLast="0"/>
      <w:bookmarkEnd w:id="4"/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3143C2" w:rsidRPr="00D76330" w:rsidRDefault="00481C7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8 классе</w:t>
      </w:r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D763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обучающихся умений: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76330">
        <w:rPr>
          <w:sz w:val="28"/>
          <w:szCs w:val="28"/>
        </w:rPr>
        <w:t>электроотрицательность</w:t>
      </w:r>
      <w:proofErr w:type="spellEnd"/>
      <w:r w:rsidRPr="00D76330">
        <w:rPr>
          <w:sz w:val="28"/>
          <w:szCs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76330">
        <w:rPr>
          <w:sz w:val="28"/>
          <w:szCs w:val="28"/>
        </w:rPr>
        <w:t>о-</w:t>
      </w:r>
      <w:proofErr w:type="gramEnd"/>
      <w:r w:rsidRPr="00D76330">
        <w:rPr>
          <w:sz w:val="28"/>
          <w:szCs w:val="28"/>
        </w:rPr>
        <w:t xml:space="preserve"> и эндотермические реакции, тепловой </w:t>
      </w:r>
      <w:proofErr w:type="gramStart"/>
      <w:r w:rsidRPr="00D76330">
        <w:rPr>
          <w:sz w:val="28"/>
          <w:szCs w:val="28"/>
        </w:rPr>
        <w:t xml:space="preserve">эффект реакции, ядро атома, электронный слой атома, атомная </w:t>
      </w:r>
      <w:proofErr w:type="spellStart"/>
      <w:r w:rsidRPr="00D76330">
        <w:rPr>
          <w:sz w:val="28"/>
          <w:szCs w:val="28"/>
        </w:rPr>
        <w:t>орбиталь</w:t>
      </w:r>
      <w:proofErr w:type="spellEnd"/>
      <w:r w:rsidRPr="00D76330">
        <w:rPr>
          <w:sz w:val="28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D76330">
        <w:rPr>
          <w:sz w:val="28"/>
          <w:szCs w:val="28"/>
        </w:rPr>
        <w:t>­-</w:t>
      </w:r>
      <w:proofErr w:type="gramEnd"/>
      <w:r w:rsidRPr="00D76330">
        <w:rPr>
          <w:sz w:val="28"/>
          <w:szCs w:val="28"/>
        </w:rPr>
        <w:t>молекулярного учения, закона Авогадро;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proofErr w:type="gramStart"/>
      <w:r w:rsidRPr="00D76330">
        <w:rPr>
          <w:sz w:val="28"/>
          <w:szCs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 xml:space="preserve">классифицировать химические элементы, неорганические </w:t>
      </w:r>
      <w:r w:rsidRPr="00D76330">
        <w:rPr>
          <w:sz w:val="28"/>
          <w:szCs w:val="28"/>
        </w:rPr>
        <w:lastRenderedPageBreak/>
        <w:t>вещества, химические реакции (по числу и составу участвующих в реакции веществ, по тепловому эффекту);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D76330">
        <w:rPr>
          <w:sz w:val="28"/>
          <w:szCs w:val="28"/>
        </w:rPr>
        <w:t>о-</w:t>
      </w:r>
      <w:proofErr w:type="gramEnd"/>
      <w:r w:rsidRPr="00D76330">
        <w:rPr>
          <w:sz w:val="28"/>
          <w:szCs w:val="28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proofErr w:type="gramStart"/>
      <w:r w:rsidRPr="00D76330">
        <w:rPr>
          <w:sz w:val="28"/>
          <w:szCs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 xml:space="preserve">К концу обучения в 9 классе предметные результаты на базовом уровне должны отражать </w:t>
      </w:r>
      <w:proofErr w:type="spellStart"/>
      <w:r w:rsidRPr="00D76330">
        <w:rPr>
          <w:sz w:val="28"/>
          <w:szCs w:val="28"/>
        </w:rPr>
        <w:t>сформированность</w:t>
      </w:r>
      <w:proofErr w:type="spellEnd"/>
      <w:r w:rsidRPr="00D76330">
        <w:rPr>
          <w:sz w:val="28"/>
          <w:szCs w:val="28"/>
        </w:rPr>
        <w:t xml:space="preserve"> у обучающихся умений: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proofErr w:type="gramStart"/>
      <w:r w:rsidRPr="00D76330">
        <w:rPr>
          <w:sz w:val="28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76330">
        <w:rPr>
          <w:sz w:val="28"/>
          <w:szCs w:val="28"/>
        </w:rPr>
        <w:t>электроотрицательность</w:t>
      </w:r>
      <w:proofErr w:type="spellEnd"/>
      <w:r w:rsidRPr="00D76330">
        <w:rPr>
          <w:sz w:val="28"/>
          <w:szCs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76330">
        <w:rPr>
          <w:sz w:val="28"/>
          <w:szCs w:val="28"/>
        </w:rPr>
        <w:t>неэлектролиты</w:t>
      </w:r>
      <w:proofErr w:type="spellEnd"/>
      <w:r w:rsidRPr="00D76330">
        <w:rPr>
          <w:sz w:val="28"/>
          <w:szCs w:val="28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D76330">
        <w:rPr>
          <w:sz w:val="28"/>
          <w:szCs w:val="28"/>
        </w:rPr>
        <w:t>окислительно</w:t>
      </w:r>
      <w:proofErr w:type="spellEnd"/>
      <w:r w:rsidRPr="00D76330">
        <w:rPr>
          <w:sz w:val="28"/>
          <w:szCs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D76330">
        <w:rPr>
          <w:sz w:val="28"/>
          <w:szCs w:val="28"/>
        </w:rPr>
        <w:t xml:space="preserve"> решётка, коррозия металлов, сплавы, </w:t>
      </w:r>
      <w:r w:rsidRPr="00D76330">
        <w:rPr>
          <w:sz w:val="28"/>
          <w:szCs w:val="28"/>
        </w:rPr>
        <w:lastRenderedPageBreak/>
        <w:t>скорость химической реакции, предельно допустимая концентрация ПДК вещества;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использовать химическую символику для составления формул веществ и уравнений химических реакций;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proofErr w:type="gramStart"/>
      <w:r w:rsidRPr="00D76330">
        <w:rPr>
          <w:sz w:val="28"/>
          <w:szCs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76330">
        <w:rPr>
          <w:sz w:val="28"/>
          <w:szCs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 xml:space="preserve">раскрывать сущность </w:t>
      </w:r>
      <w:proofErr w:type="spellStart"/>
      <w:r w:rsidRPr="00D76330">
        <w:rPr>
          <w:sz w:val="28"/>
          <w:szCs w:val="28"/>
        </w:rPr>
        <w:t>окислительно</w:t>
      </w:r>
      <w:proofErr w:type="spellEnd"/>
      <w:r w:rsidRPr="00D76330">
        <w:rPr>
          <w:sz w:val="28"/>
          <w:szCs w:val="28"/>
        </w:rPr>
        <w:t>-восстановительных реакций посредством составления электронного баланса этих реакций;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lastRenderedPageBreak/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r w:rsidRPr="00D76330">
        <w:rPr>
          <w:sz w:val="28"/>
          <w:szCs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D76330">
        <w:rPr>
          <w:sz w:val="28"/>
          <w:szCs w:val="28"/>
        </w:rPr>
        <w:t>д-</w:t>
      </w:r>
      <w:proofErr w:type="gramEnd"/>
      <w:r w:rsidRPr="00D76330">
        <w:rPr>
          <w:sz w:val="28"/>
          <w:szCs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3143C2" w:rsidRPr="00D76330" w:rsidRDefault="00481C76" w:rsidP="00481C76">
      <w:pPr>
        <w:pStyle w:val="af4"/>
        <w:numPr>
          <w:ilvl w:val="0"/>
          <w:numId w:val="3"/>
        </w:numPr>
        <w:spacing w:line="276" w:lineRule="auto"/>
        <w:ind w:left="0" w:firstLine="709"/>
        <w:rPr>
          <w:sz w:val="28"/>
          <w:szCs w:val="28"/>
        </w:rPr>
      </w:pPr>
      <w:proofErr w:type="gramStart"/>
      <w:r w:rsidRPr="00D76330">
        <w:rPr>
          <w:sz w:val="28"/>
          <w:szCs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481C76" w:rsidRPr="00D76330" w:rsidRDefault="00481C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bookmark=id.1t3h5sf" w:colFirst="0" w:colLast="0"/>
      <w:bookmarkEnd w:id="5"/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br w:type="page"/>
      </w:r>
    </w:p>
    <w:p w:rsidR="003143C2" w:rsidRDefault="00481C76" w:rsidP="00D76330">
      <w:pPr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ТЕМАТИЧЕСКОЕ ПЛАНИРОВАНИЕ</w:t>
      </w:r>
      <w:r w:rsidR="00D76330"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8 КЛАСС</w:t>
      </w:r>
    </w:p>
    <w:p w:rsidR="00D02DCD" w:rsidRDefault="00D02DCD" w:rsidP="00D76330">
      <w:pPr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02DCD" w:rsidRPr="00D02DCD" w:rsidRDefault="00D02DCD" w:rsidP="00D02D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-9-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02DCD">
        <w:rPr>
          <w:rFonts w:hAnsi="Times New Roman" w:cs="Times New Roman"/>
          <w:color w:val="000000"/>
          <w:sz w:val="24"/>
          <w:szCs w:val="24"/>
        </w:rPr>
        <w:t> 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02DCD">
        <w:rPr>
          <w:rFonts w:hAnsi="Times New Roman" w:cs="Times New Roman"/>
          <w:color w:val="000000"/>
          <w:sz w:val="24"/>
          <w:szCs w:val="24"/>
        </w:rPr>
        <w:t> 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приоритетов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DCD" w:rsidRPr="00D02DCD" w:rsidRDefault="00D02DCD" w:rsidP="00D02DC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приоритетом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DCD" w:rsidRPr="00D02DCD" w:rsidRDefault="00D02DCD" w:rsidP="00D02D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потребностью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жизненном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самоопределении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открывается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пороге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взрослой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DCD" w:rsidRPr="00D02DCD" w:rsidRDefault="00D02DCD" w:rsidP="00D02DCD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6" w:name="_GoBack"/>
      <w:bookmarkEnd w:id="6"/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D02DCD">
        <w:rPr>
          <w:rFonts w:hAnsi="Times New Roman" w:cs="Times New Roman"/>
          <w:color w:val="000000"/>
          <w:sz w:val="24"/>
          <w:szCs w:val="24"/>
        </w:rPr>
        <w:t> 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приобрести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02DCD" w:rsidRPr="00D02DCD" w:rsidRDefault="00D02DCD" w:rsidP="00D02D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D02DCD" w:rsidRPr="00D02DCD" w:rsidRDefault="00D02DCD" w:rsidP="00D02D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02DCD" w:rsidRPr="00D02DCD" w:rsidRDefault="00D02DCD" w:rsidP="00D02D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приемлемого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D02D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02DCD" w:rsidRPr="00D76330" w:rsidRDefault="00D02DCD" w:rsidP="00D76330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0"/>
        <w:tblW w:w="934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3429"/>
        <w:gridCol w:w="1530"/>
        <w:gridCol w:w="3531"/>
      </w:tblGrid>
      <w:tr w:rsidR="003143C2" w:rsidRPr="00D76330" w:rsidTr="00D76330">
        <w:trPr>
          <w:trHeight w:val="144"/>
          <w:jc w:val="center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/п </w:t>
            </w:r>
          </w:p>
          <w:p w:rsidR="003143C2" w:rsidRPr="00D76330" w:rsidRDefault="003143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</w:p>
          <w:p w:rsidR="003143C2" w:rsidRPr="00D76330" w:rsidRDefault="003143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  <w:p w:rsidR="003143C2" w:rsidRPr="00D76330" w:rsidRDefault="003143C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Электронные (цифровые) образовательные ресурсы </w:t>
            </w:r>
          </w:p>
          <w:p w:rsidR="003143C2" w:rsidRPr="00D76330" w:rsidRDefault="003143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D76330" w:rsidTr="00D76330">
        <w:trPr>
          <w:trHeight w:val="144"/>
          <w:jc w:val="center"/>
        </w:trPr>
        <w:tc>
          <w:tcPr>
            <w:tcW w:w="859" w:type="dxa"/>
            <w:vMerge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29" w:type="dxa"/>
            <w:vMerge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Всег</w:t>
            </w:r>
            <w:r w:rsidRPr="00D763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</w:p>
          <w:p w:rsidR="003143C2" w:rsidRPr="00D76330" w:rsidRDefault="003143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1" w:type="dxa"/>
            <w:vMerge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D76330" w:rsidTr="00D76330">
        <w:trPr>
          <w:trHeight w:val="144"/>
          <w:jc w:val="center"/>
        </w:trPr>
        <w:tc>
          <w:tcPr>
            <w:tcW w:w="9349" w:type="dxa"/>
            <w:gridSpan w:val="4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Первоначальные химические понятия</w:t>
            </w:r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Вещества и химические реакции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15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D76330" w:rsidTr="00D76330">
        <w:trPr>
          <w:trHeight w:val="144"/>
          <w:jc w:val="center"/>
        </w:trPr>
        <w:tc>
          <w:tcPr>
            <w:tcW w:w="4288" w:type="dxa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9349" w:type="dxa"/>
            <w:gridSpan w:val="4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Важнейшие представители неорганических веществ</w:t>
            </w:r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Воздух. Кислород. </w:t>
            </w: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Понятие об оксидах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6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2.2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Водород</w:t>
            </w:r>
            <w:proofErr w:type="gramStart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онятие</w:t>
            </w:r>
            <w:proofErr w:type="spellEnd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 кислотах и солях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Вода. Растворы. Понятие об основаниях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2.4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классы неорганических соединений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11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D76330" w:rsidTr="00D76330">
        <w:trPr>
          <w:trHeight w:val="144"/>
          <w:jc w:val="center"/>
        </w:trPr>
        <w:tc>
          <w:tcPr>
            <w:tcW w:w="4288" w:type="dxa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30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D76330" w:rsidTr="00D76330">
        <w:trPr>
          <w:trHeight w:val="144"/>
          <w:jc w:val="center"/>
        </w:trPr>
        <w:tc>
          <w:tcPr>
            <w:tcW w:w="9349" w:type="dxa"/>
            <w:gridSpan w:val="4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Периодический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Окислительно</w:t>
            </w:r>
            <w:proofErr w:type="spellEnd"/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-восстановительные реакции</w:t>
            </w:r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3.1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Менделе</w:t>
            </w:r>
            <w:proofErr w:type="gramEnd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­ева. Строение атома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3.2</w:t>
            </w:r>
          </w:p>
        </w:tc>
        <w:tc>
          <w:tcPr>
            <w:tcW w:w="3429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Химическая связь. </w:t>
            </w:r>
            <w:proofErr w:type="spellStart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Окислительно</w:t>
            </w:r>
            <w:proofErr w:type="spellEnd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-восстановительные реакции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4288" w:type="dxa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15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4B602A" w:rsidTr="00D76330">
        <w:trPr>
          <w:trHeight w:val="144"/>
          <w:jc w:val="center"/>
        </w:trPr>
        <w:tc>
          <w:tcPr>
            <w:tcW w:w="4288" w:type="dxa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Резервное время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https://m.edsoo.ru/7f41837c</w:t>
              </w:r>
            </w:hyperlink>
          </w:p>
        </w:tc>
      </w:tr>
      <w:tr w:rsidR="003143C2" w:rsidRPr="00D76330" w:rsidTr="00D76330">
        <w:trPr>
          <w:trHeight w:val="144"/>
          <w:jc w:val="center"/>
        </w:trPr>
        <w:tc>
          <w:tcPr>
            <w:tcW w:w="4288" w:type="dxa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481C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68 </w:t>
            </w:r>
          </w:p>
        </w:tc>
        <w:tc>
          <w:tcPr>
            <w:tcW w:w="3531" w:type="dxa"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143C2" w:rsidRPr="00D76330" w:rsidRDefault="003143C2">
      <w:pPr>
        <w:rPr>
          <w:rFonts w:ascii="Times New Roman" w:hAnsi="Times New Roman" w:cs="Times New Roman"/>
          <w:sz w:val="28"/>
          <w:szCs w:val="28"/>
          <w:lang w:val="ru-RU"/>
        </w:rPr>
        <w:sectPr w:rsidR="003143C2" w:rsidRPr="00D76330" w:rsidSect="00D02DCD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D76330" w:rsidRDefault="00D76330" w:rsidP="00D76330">
      <w:pPr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76330" w:rsidRPr="00D76330" w:rsidRDefault="00D76330" w:rsidP="00D76330">
      <w:pPr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</w:t>
      </w:r>
      <w:r w:rsidRPr="00D763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tbl>
      <w:tblPr>
        <w:tblStyle w:val="af1"/>
        <w:tblW w:w="4486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51"/>
        <w:gridCol w:w="2678"/>
        <w:gridCol w:w="1712"/>
        <w:gridCol w:w="3508"/>
      </w:tblGrid>
      <w:tr w:rsidR="003143C2" w:rsidRPr="00D76330" w:rsidTr="00D02DCD">
        <w:trPr>
          <w:trHeight w:val="146"/>
          <w:jc w:val="center"/>
        </w:trPr>
        <w:tc>
          <w:tcPr>
            <w:tcW w:w="38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 w:rsidP="00D76330">
            <w:pPr>
              <w:spacing w:before="24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/п </w:t>
            </w:r>
          </w:p>
          <w:p w:rsidR="003143C2" w:rsidRPr="00D76330" w:rsidRDefault="003143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</w:p>
          <w:p w:rsidR="003143C2" w:rsidRPr="00D76330" w:rsidRDefault="003143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78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Электронные (цифровые) образовательные ресурсы </w:t>
            </w:r>
          </w:p>
          <w:p w:rsidR="003143C2" w:rsidRPr="00D76330" w:rsidRDefault="003143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D76330" w:rsidTr="00D02DCD">
        <w:trPr>
          <w:trHeight w:val="146"/>
          <w:jc w:val="center"/>
        </w:trPr>
        <w:tc>
          <w:tcPr>
            <w:tcW w:w="381" w:type="pct"/>
            <w:vMerge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0" w:type="pct"/>
            <w:vMerge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Всего </w:t>
            </w:r>
          </w:p>
          <w:p w:rsidR="003143C2" w:rsidRPr="00D76330" w:rsidRDefault="003143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80" w:type="pct"/>
            <w:vMerge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lastRenderedPageBreak/>
              <w:t>Раздел 1.</w:t>
            </w: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Вещество и химические реакции</w:t>
            </w:r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закономерности химических реакций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8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D76330" w:rsidTr="00D02DCD">
        <w:trPr>
          <w:trHeight w:val="146"/>
          <w:jc w:val="center"/>
        </w:trPr>
        <w:tc>
          <w:tcPr>
            <w:tcW w:w="2351" w:type="pct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17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Неметаллы и их соединения</w:t>
            </w:r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VII</w:t>
            </w:r>
            <w:proofErr w:type="gramEnd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А-группы. Галогены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VI</w:t>
            </w:r>
            <w:proofErr w:type="gramEnd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А-группы. Сера и её соединения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6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V</w:t>
            </w:r>
            <w:proofErr w:type="gramEnd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А-группы. Азот, фосфор и их соединения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2.4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характеристика </w:t>
            </w: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химических элементов </w:t>
            </w:r>
            <w:proofErr w:type="gramStart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IV</w:t>
            </w:r>
            <w:proofErr w:type="gramEnd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А-группы. Углерод и </w:t>
            </w:r>
            <w:proofErr w:type="gramStart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кремний</w:t>
            </w:r>
            <w:proofErr w:type="gramEnd"/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их соединения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8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D76330" w:rsidTr="00D02DCD">
        <w:trPr>
          <w:trHeight w:val="146"/>
          <w:jc w:val="center"/>
        </w:trPr>
        <w:tc>
          <w:tcPr>
            <w:tcW w:w="2351" w:type="pct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Итого по разделу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25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Металлы и их соединения</w:t>
            </w:r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3.1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Общие свойства металлов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4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3.2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Важнейшие металлы и их соединения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16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D76330" w:rsidTr="00D02DCD">
        <w:trPr>
          <w:trHeight w:val="146"/>
          <w:jc w:val="center"/>
        </w:trPr>
        <w:tc>
          <w:tcPr>
            <w:tcW w:w="2351" w:type="pct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763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Химия и окружающая среда</w:t>
            </w:r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381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4.1</w:t>
            </w:r>
          </w:p>
        </w:tc>
        <w:tc>
          <w:tcPr>
            <w:tcW w:w="197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Вещества и материалы в жизни человека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D76330" w:rsidTr="00D02DCD">
        <w:trPr>
          <w:trHeight w:val="146"/>
          <w:jc w:val="center"/>
        </w:trPr>
        <w:tc>
          <w:tcPr>
            <w:tcW w:w="2351" w:type="pct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43C2" w:rsidRPr="004B602A" w:rsidTr="00D02DCD">
        <w:trPr>
          <w:trHeight w:val="146"/>
          <w:jc w:val="center"/>
        </w:trPr>
        <w:tc>
          <w:tcPr>
            <w:tcW w:w="2351" w:type="pct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Резервное время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D7633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https://m.edsoo.ru/7f41a636</w:t>
              </w:r>
            </w:hyperlink>
          </w:p>
        </w:tc>
      </w:tr>
      <w:tr w:rsidR="003143C2" w:rsidRPr="00D76330" w:rsidTr="00D02DCD">
        <w:trPr>
          <w:trHeight w:val="146"/>
          <w:jc w:val="center"/>
        </w:trPr>
        <w:tc>
          <w:tcPr>
            <w:tcW w:w="2351" w:type="pct"/>
            <w:gridSpan w:val="2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869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D763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6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68 </w:t>
            </w:r>
          </w:p>
        </w:tc>
        <w:tc>
          <w:tcPr>
            <w:tcW w:w="1780" w:type="pct"/>
            <w:tcMar>
              <w:top w:w="50" w:type="dxa"/>
              <w:left w:w="100" w:type="dxa"/>
            </w:tcMar>
            <w:vAlign w:val="center"/>
          </w:tcPr>
          <w:p w:rsidR="003143C2" w:rsidRPr="00D76330" w:rsidRDefault="003143C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143C2" w:rsidRPr="00D76330" w:rsidRDefault="003143C2">
      <w:pPr>
        <w:rPr>
          <w:rFonts w:ascii="Times New Roman" w:hAnsi="Times New Roman" w:cs="Times New Roman"/>
          <w:sz w:val="28"/>
          <w:szCs w:val="28"/>
          <w:lang w:val="ru-RU"/>
        </w:rPr>
        <w:sectPr w:rsidR="003143C2" w:rsidRPr="00D76330" w:rsidSect="00D02DC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D76330" w:rsidRPr="00D76330" w:rsidRDefault="00D76330" w:rsidP="00D76330">
      <w:pPr>
        <w:spacing w:before="240"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143C2" w:rsidRPr="00D76330" w:rsidRDefault="003143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143C2" w:rsidRPr="00D76330" w:rsidSect="00D02DCD">
      <w:type w:val="continuous"/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9B6"/>
    <w:multiLevelType w:val="multilevel"/>
    <w:tmpl w:val="B2EEDAA2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9F439C"/>
    <w:multiLevelType w:val="multilevel"/>
    <w:tmpl w:val="E71CE078"/>
    <w:lvl w:ilvl="0">
      <w:numFmt w:val="bullet"/>
      <w:lvlText w:val=""/>
      <w:lvlJc w:val="left"/>
      <w:pPr>
        <w:ind w:left="9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FF3B99"/>
    <w:multiLevelType w:val="multilevel"/>
    <w:tmpl w:val="3D0432D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4BE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43C2"/>
    <w:rsid w:val="003143C2"/>
    <w:rsid w:val="00481C76"/>
    <w:rsid w:val="004B602A"/>
    <w:rsid w:val="00D02DCD"/>
    <w:rsid w:val="00D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List Paragraph"/>
    <w:basedOn w:val="a"/>
    <w:qFormat/>
    <w:rsid w:val="00481C76"/>
    <w:pPr>
      <w:widowControl w:val="0"/>
      <w:autoSpaceDE w:val="0"/>
      <w:autoSpaceDN w:val="0"/>
      <w:spacing w:after="0" w:line="240" w:lineRule="auto"/>
      <w:ind w:left="812" w:hanging="360"/>
      <w:jc w:val="both"/>
    </w:pPr>
    <w:rPr>
      <w:rFonts w:ascii="Times New Roman" w:eastAsia="Times New Roman" w:hAnsi="Times New Roman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0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50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4">
    <w:name w:val="List Paragraph"/>
    <w:basedOn w:val="a"/>
    <w:qFormat/>
    <w:rsid w:val="00481C76"/>
    <w:pPr>
      <w:widowControl w:val="0"/>
      <w:autoSpaceDE w:val="0"/>
      <w:autoSpaceDN w:val="0"/>
      <w:spacing w:after="0" w:line="240" w:lineRule="auto"/>
      <w:ind w:left="812" w:hanging="360"/>
      <w:jc w:val="both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mepOQ0wKq/jTcuZRnkWfllOFpQ==">CgMxLjAyCWlkLmdqZGd4czIKaWQuMzBqMHpsbDIKaWQuMWZvYjl0ZTIKaWQuM3pueXNoNzIKaWQuMmV0OTJwMDIIaC50eWpjd3QyCWguM2R5NnZrbTIKaWQuMXQzaDVzZjIKaWQuNGQzNG9nODIKaWQuMnM4ZXlvMTgAciExbE41M0Fzd1hXVjkzMHV1b09sQ0FQNWs0Q2FNeENhc3k=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7236</Words>
  <Characters>41250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Криеева Елена</dc:creator>
  <cp:lastModifiedBy>Криеева Елена</cp:lastModifiedBy>
  <cp:revision>3</cp:revision>
  <dcterms:created xsi:type="dcterms:W3CDTF">2023-09-28T07:19:00Z</dcterms:created>
  <dcterms:modified xsi:type="dcterms:W3CDTF">2023-09-29T19:34:00Z</dcterms:modified>
</cp:coreProperties>
</file>